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5" w:type="dxa"/>
        <w:tblCellSpacing w:w="0" w:type="dxa"/>
        <w:shd w:val="clear" w:color="auto" w:fill="FFFFFF"/>
        <w:tblCellMar>
          <w:left w:w="0" w:type="dxa"/>
          <w:right w:w="0" w:type="dxa"/>
        </w:tblCellMar>
        <w:tblLook w:val="04A0"/>
      </w:tblPr>
      <w:tblGrid>
        <w:gridCol w:w="10285"/>
        <w:gridCol w:w="230"/>
      </w:tblGrid>
      <w:tr w:rsidR="00D56BFE" w:rsidRPr="003362B6" w:rsidTr="00D56BFE">
        <w:trPr>
          <w:tblCellSpacing w:w="0" w:type="dxa"/>
        </w:trPr>
        <w:tc>
          <w:tcPr>
            <w:tcW w:w="0" w:type="auto"/>
            <w:shd w:val="clear" w:color="auto" w:fill="FFFFFF"/>
            <w:vAlign w:val="center"/>
            <w:hideMark/>
          </w:tcPr>
          <w:tbl>
            <w:tblPr>
              <w:tblW w:w="9631" w:type="dxa"/>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3153"/>
              <w:gridCol w:w="6478"/>
            </w:tblGrid>
            <w:tr w:rsidR="00D56BFE" w:rsidRPr="003362B6" w:rsidTr="00D56BFE">
              <w:trPr>
                <w:tblCellSpacing w:w="0" w:type="dxa"/>
              </w:trPr>
              <w:tc>
                <w:tcPr>
                  <w:tcW w:w="3153" w:type="dxa"/>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TÊN THỦ TỤC:</w:t>
                  </w:r>
                </w:p>
              </w:tc>
              <w:tc>
                <w:tcPr>
                  <w:tcW w:w="6478" w:type="dxa"/>
                  <w:tcBorders>
                    <w:top w:val="nil"/>
                    <w:left w:val="single" w:sz="6" w:space="0" w:color="CCCCCC"/>
                    <w:bottom w:val="single" w:sz="6" w:space="0" w:color="CCCCCC"/>
                    <w:right w:val="nil"/>
                  </w:tcBorders>
                  <w:shd w:val="clear" w:color="auto" w:fill="FFFFFF"/>
                  <w:tcMar>
                    <w:top w:w="0" w:type="dxa"/>
                    <w:left w:w="75" w:type="dxa"/>
                    <w:bottom w:w="0" w:type="dxa"/>
                    <w:right w:w="0" w:type="dxa"/>
                  </w:tcMar>
                  <w:vAlign w:val="center"/>
                  <w:hideMark/>
                </w:tcPr>
                <w:p w:rsidR="00D56BFE" w:rsidRPr="003362B6" w:rsidRDefault="00D56BFE" w:rsidP="00D56BFE">
                  <w:pPr>
                    <w:spacing w:after="0" w:line="240" w:lineRule="auto"/>
                    <w:rPr>
                      <w:color w:val="000000"/>
                      <w:sz w:val="22"/>
                      <w:szCs w:val="24"/>
                    </w:rPr>
                  </w:pPr>
                  <w:r w:rsidRPr="003362B6">
                    <w:rPr>
                      <w:color w:val="000000"/>
                      <w:sz w:val="22"/>
                    </w:rPr>
                    <w:t>Công nhận lại “Thị trấn đạt chuẩn văn minh đô thị”.</w:t>
                  </w:r>
                </w:p>
              </w:tc>
            </w:tr>
            <w:tr w:rsidR="00D56BFE" w:rsidRPr="003362B6" w:rsidTr="00D56BFE">
              <w:trPr>
                <w:tblCellSpacing w:w="0" w:type="dxa"/>
              </w:trPr>
              <w:tc>
                <w:tcPr>
                  <w:tcW w:w="3153" w:type="dxa"/>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LĨNH VỰC:</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47660A" w:rsidP="00D56BFE">
                  <w:pPr>
                    <w:spacing w:after="0" w:line="240" w:lineRule="auto"/>
                    <w:rPr>
                      <w:color w:val="000000"/>
                      <w:sz w:val="22"/>
                      <w:szCs w:val="24"/>
                    </w:rPr>
                  </w:pPr>
                  <w:hyperlink r:id="rId4" w:history="1">
                    <w:r w:rsidR="00D56BFE" w:rsidRPr="003362B6">
                      <w:rPr>
                        <w:rStyle w:val="Siunikt"/>
                        <w:color w:val="000000"/>
                        <w:sz w:val="22"/>
                        <w:u w:val="none"/>
                      </w:rPr>
                      <w:t>Văn hoá</w:t>
                    </w:r>
                  </w:hyperlink>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KẾT QUẢ:</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color w:val="000000"/>
                      <w:sz w:val="22"/>
                      <w:szCs w:val="24"/>
                    </w:rPr>
                  </w:pPr>
                  <w:r w:rsidRPr="003362B6">
                    <w:rPr>
                      <w:color w:val="000000"/>
                      <w:sz w:val="22"/>
                      <w:lang w:val="vi-VN"/>
                    </w:rPr>
                    <w:t>Quyết định hành chính và Giấy công nhận</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ĐỐI TƯỢNG ÁP DỤNG:</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color w:val="000000"/>
                      <w:sz w:val="22"/>
                      <w:szCs w:val="24"/>
                    </w:rPr>
                  </w:pPr>
                  <w:r w:rsidRPr="003362B6">
                    <w:rPr>
                      <w:color w:val="000000"/>
                      <w:sz w:val="22"/>
                    </w:rPr>
                    <w:t>Tổ chức</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HỒ SƠ CẦN THIẾT:</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jc w:val="both"/>
                    <w:rPr>
                      <w:rFonts w:eastAsia="Times New Roman" w:cs="Times New Roman"/>
                      <w:color w:val="000000"/>
                      <w:sz w:val="22"/>
                      <w:szCs w:val="24"/>
                    </w:rPr>
                  </w:pPr>
                  <w:r w:rsidRPr="003362B6">
                    <w:rPr>
                      <w:color w:val="000000"/>
                      <w:sz w:val="22"/>
                    </w:rPr>
                    <w:t>- Công văn đề nghị của Chủ tịch Ủy ban nhân dân thị trấn.</w:t>
                  </w:r>
                </w:p>
                <w:p w:rsidR="00D56BFE" w:rsidRPr="003362B6" w:rsidRDefault="00D56BFE" w:rsidP="00D56BFE">
                  <w:pPr>
                    <w:spacing w:after="0" w:line="240" w:lineRule="auto"/>
                    <w:jc w:val="both"/>
                    <w:rPr>
                      <w:color w:val="000000"/>
                      <w:sz w:val="22"/>
                    </w:rPr>
                  </w:pPr>
                  <w:r w:rsidRPr="003362B6">
                    <w:rPr>
                      <w:color w:val="000000"/>
                      <w:sz w:val="22"/>
                    </w:rPr>
                    <w:t>- Báo cáo thành tích của Ban Chỉ đạo Phong trào “Toàn dân đoàn kết xây dựng đời sống văn hóa” có xác nhận của Chủ tịch Ủy ban nhân dân phường, thị trấn:</w:t>
                  </w:r>
                </w:p>
                <w:p w:rsidR="00D56BFE" w:rsidRPr="003362B6" w:rsidRDefault="00D56BFE" w:rsidP="00D56BFE">
                  <w:pPr>
                    <w:spacing w:after="0" w:line="240" w:lineRule="auto"/>
                    <w:jc w:val="both"/>
                    <w:rPr>
                      <w:color w:val="000000"/>
                      <w:sz w:val="22"/>
                    </w:rPr>
                  </w:pPr>
                  <w:r w:rsidRPr="003362B6">
                    <w:rPr>
                      <w:color w:val="000000"/>
                      <w:sz w:val="22"/>
                    </w:rPr>
                    <w:t>- Báo cáo 05 năm (đối với công nhận lại);</w:t>
                  </w:r>
                </w:p>
                <w:p w:rsidR="00D56BFE" w:rsidRPr="003362B6" w:rsidRDefault="00D56BFE" w:rsidP="00D56BFE">
                  <w:pPr>
                    <w:spacing w:after="0" w:line="240" w:lineRule="auto"/>
                    <w:jc w:val="both"/>
                    <w:rPr>
                      <w:color w:val="000000"/>
                      <w:sz w:val="22"/>
                    </w:rPr>
                  </w:pPr>
                  <w:r w:rsidRPr="003362B6">
                    <w:rPr>
                      <w:color w:val="000000"/>
                      <w:sz w:val="22"/>
                    </w:rPr>
                    <w:t>- Quyết định đạt tiêu chí “Thị trấn đạt chuẩn văn minh đô thị” hàng năm kèm theo;</w:t>
                  </w:r>
                </w:p>
                <w:p w:rsidR="00D56BFE" w:rsidRPr="003362B6" w:rsidRDefault="00D56BFE" w:rsidP="00D56BFE">
                  <w:pPr>
                    <w:spacing w:after="0" w:line="240" w:lineRule="auto"/>
                    <w:jc w:val="both"/>
                    <w:rPr>
                      <w:color w:val="000000"/>
                      <w:sz w:val="22"/>
                      <w:szCs w:val="24"/>
                    </w:rPr>
                  </w:pPr>
                  <w:r w:rsidRPr="003362B6">
                    <w:rPr>
                      <w:i/>
                      <w:iCs/>
                      <w:color w:val="000000"/>
                      <w:sz w:val="22"/>
                    </w:rPr>
                    <w:t>Số lượng hồ sơ:</w:t>
                  </w:r>
                  <w:r w:rsidRPr="003362B6">
                    <w:rPr>
                      <w:color w:val="000000"/>
                      <w:sz w:val="22"/>
                    </w:rPr>
                    <w:t> Một (01) bộ.</w:t>
                  </w:r>
                </w:p>
              </w:tc>
            </w:tr>
            <w:tr w:rsidR="00D56BFE" w:rsidRPr="003362B6" w:rsidTr="00D56BFE">
              <w:trPr>
                <w:tblCellSpacing w:w="0" w:type="dxa"/>
              </w:trPr>
              <w:tc>
                <w:tcPr>
                  <w:tcW w:w="3153" w:type="dxa"/>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QUY TRÌNH:</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pStyle w:val="ChunWeb"/>
                    <w:shd w:val="clear" w:color="auto" w:fill="FFFFFF"/>
                    <w:jc w:val="both"/>
                    <w:rPr>
                      <w:color w:val="000000"/>
                      <w:sz w:val="22"/>
                    </w:rPr>
                  </w:pPr>
                  <w:r w:rsidRPr="003362B6">
                    <w:rPr>
                      <w:color w:val="000000"/>
                      <w:sz w:val="22"/>
                    </w:rPr>
                    <w:t>Bước 1: Trưởng Ban Chỉ đạo phong trào “Toàn dân đoàn kết xây dựng đời sống văn hóa” xã, thị trấn đăng ký xây dựng “Thị trấn đạt chuẩn văn minh đô thị”  với Ủy ban nhân dân cấp huyện;</w:t>
                  </w:r>
                </w:p>
                <w:p w:rsidR="00D56BFE" w:rsidRPr="003362B6" w:rsidRDefault="00D56BFE" w:rsidP="00D56BFE">
                  <w:pPr>
                    <w:pStyle w:val="ChunWeb"/>
                    <w:shd w:val="clear" w:color="auto" w:fill="FFFFFF"/>
                    <w:jc w:val="both"/>
                    <w:rPr>
                      <w:color w:val="000000"/>
                      <w:sz w:val="22"/>
                    </w:rPr>
                  </w:pPr>
                  <w:r w:rsidRPr="003362B6">
                    <w:rPr>
                      <w:color w:val="000000"/>
                      <w:sz w:val="22"/>
                    </w:rPr>
                    <w:t>Bước 2: Ban Chỉ đạo phong trào “Toàn dân đoàn kết xây dựng đời sống văn hóa” thị trấn kiểm tra, đánh giá kết quả thực hiện, xây dựng báo cáo thành tích xây dựng “Thị trấn đạt chuẩn văn minh đô thị”  gửi Ủy ban nhân thị trấn;</w:t>
                  </w:r>
                </w:p>
                <w:p w:rsidR="00D56BFE" w:rsidRPr="003362B6" w:rsidRDefault="00D56BFE" w:rsidP="00D56BFE">
                  <w:pPr>
                    <w:pStyle w:val="ChunWeb"/>
                    <w:shd w:val="clear" w:color="auto" w:fill="FFFFFF"/>
                    <w:jc w:val="both"/>
                    <w:rPr>
                      <w:color w:val="000000"/>
                      <w:sz w:val="22"/>
                    </w:rPr>
                  </w:pPr>
                  <w:r w:rsidRPr="003362B6">
                    <w:rPr>
                      <w:color w:val="000000"/>
                      <w:sz w:val="22"/>
                    </w:rPr>
                    <w:t>Bước 3: Chủ tịch Ủy ban nhân dân thị trấn đề nghị Chủ tịch Ủy ban nhân dân cấp huyện công nhận “Thị trấn đạt chuẩn văn minh đô thị”;</w:t>
                  </w:r>
                </w:p>
                <w:p w:rsidR="00D56BFE" w:rsidRPr="003362B6" w:rsidRDefault="00D56BFE" w:rsidP="00D56BFE">
                  <w:pPr>
                    <w:pStyle w:val="ChunWeb"/>
                    <w:shd w:val="clear" w:color="auto" w:fill="FFFFFF"/>
                    <w:jc w:val="both"/>
                    <w:rPr>
                      <w:color w:val="000000"/>
                      <w:sz w:val="22"/>
                    </w:rPr>
                  </w:pPr>
                  <w:r w:rsidRPr="003362B6">
                    <w:rPr>
                      <w:color w:val="000000"/>
                      <w:sz w:val="22"/>
                    </w:rPr>
                    <w:t>Bước 4: Ban Chỉ đạo phong trào “Toàn dân đoàn kết xây dựng đời sống văn hóa” cấp huyện kiểm tra, đánh giá kết quả thực hiện tiêu chuẩn công nhận “Thị trấn đạt chuẩn văn minh đô thị” (có biên bản kiểm tra);</w:t>
                  </w:r>
                </w:p>
                <w:p w:rsidR="00D56BFE" w:rsidRPr="003362B6" w:rsidRDefault="00D56BFE" w:rsidP="00D56BFE">
                  <w:pPr>
                    <w:pStyle w:val="ChunWeb"/>
                    <w:shd w:val="clear" w:color="auto" w:fill="FFFFFF"/>
                    <w:jc w:val="both"/>
                    <w:rPr>
                      <w:color w:val="000000"/>
                      <w:sz w:val="22"/>
                    </w:rPr>
                  </w:pPr>
                  <w:r w:rsidRPr="003362B6">
                    <w:rPr>
                      <w:color w:val="000000"/>
                      <w:sz w:val="22"/>
                    </w:rPr>
                    <w:t>Bước 5: Phòng Văn hóa và Thông tin cấp huyện phối hợp với bộ phận thi đua, khen thưởng cùng cấp, trình Chủ tịch Ủy ban nhân dân cấp huyện ra quyết định công nhận, công nhận và cấp Giấy công nhận “Thị trấn đạt chuẩn văn minh đô thị”.</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LỆ PHÍ:</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color w:val="000000"/>
                      <w:sz w:val="22"/>
                      <w:szCs w:val="24"/>
                    </w:rPr>
                  </w:pPr>
                  <w:r w:rsidRPr="003362B6">
                    <w:rPr>
                      <w:color w:val="000000"/>
                      <w:sz w:val="22"/>
                    </w:rPr>
                    <w:t>Không</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THỜI GIAN:</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color w:val="000000"/>
                      <w:sz w:val="22"/>
                      <w:szCs w:val="24"/>
                    </w:rPr>
                  </w:pPr>
                  <w:r w:rsidRPr="003362B6">
                    <w:rPr>
                      <w:color w:val="000000"/>
                      <w:sz w:val="22"/>
                    </w:rPr>
                    <w:t>Năm (05) ngày làm việc, kể từ ngày nhận đầy đủ hồ sơ hợp lệ.</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CĂN CỨ PHÁP LÝ:</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jc w:val="both"/>
                    <w:rPr>
                      <w:rFonts w:eastAsia="Times New Roman" w:cs="Times New Roman"/>
                      <w:color w:val="000000"/>
                      <w:sz w:val="22"/>
                      <w:szCs w:val="24"/>
                    </w:rPr>
                  </w:pPr>
                  <w:r w:rsidRPr="003362B6">
                    <w:rPr>
                      <w:color w:val="000000"/>
                      <w:sz w:val="22"/>
                    </w:rPr>
                    <w:t>- 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D56BFE" w:rsidRPr="003362B6" w:rsidRDefault="00D56BFE" w:rsidP="00D56BFE">
                  <w:pPr>
                    <w:spacing w:after="0" w:line="240" w:lineRule="auto"/>
                    <w:jc w:val="both"/>
                    <w:rPr>
                      <w:color w:val="000000"/>
                      <w:sz w:val="22"/>
                      <w:szCs w:val="24"/>
                    </w:rPr>
                  </w:pPr>
                  <w:r w:rsidRPr="003362B6">
                    <w:rPr>
                      <w:color w:val="000000"/>
                      <w:sz w:val="22"/>
                    </w:rPr>
                    <w:t>- Hướng dẫn số 03/HD-BCĐ ngày 02/5/2019 của Ban Chỉ đạo Phong trào “Toàn dân đoàn kết xây dựng đời sống văn hóa”  huyện Chợ Mới về việc hướng dẫn chi tiết trì tự xét và công nhận “Xã đạt chuẩn văn hoá nông thôn mới”, “Phường, thị trấn đạt chuẩn văn minh đô thị”.</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jc w:val="center"/>
                    <w:rPr>
                      <w:b/>
                      <w:bCs/>
                      <w:caps/>
                      <w:color w:val="000000"/>
                      <w:sz w:val="22"/>
                      <w:szCs w:val="24"/>
                    </w:rPr>
                  </w:pPr>
                  <w:r w:rsidRPr="003362B6">
                    <w:rPr>
                      <w:b/>
                      <w:bCs/>
                      <w:caps/>
                      <w:color w:val="000000"/>
                      <w:sz w:val="26"/>
                    </w:rPr>
                    <w:t>ĐỊA ĐIỂM TIẾP NHẬN:</w:t>
                  </w: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color w:val="000000"/>
                      <w:sz w:val="22"/>
                      <w:szCs w:val="24"/>
                    </w:rPr>
                  </w:pPr>
                  <w:r w:rsidRPr="003362B6">
                    <w:rPr>
                      <w:color w:val="000000"/>
                      <w:sz w:val="22"/>
                    </w:rPr>
                    <w:t>Bộ phận tiếp nhận và trả kết quả UBND</w:t>
                  </w:r>
                  <w:r w:rsidRPr="003362B6">
                    <w:rPr>
                      <w:color w:val="000000"/>
                      <w:sz w:val="22"/>
                      <w:lang w:val="vi-VN"/>
                    </w:rPr>
                    <w:t xml:space="preserve"> cấp huyện</w:t>
                  </w:r>
                </w:p>
              </w:tc>
            </w:tr>
            <w:tr w:rsidR="00D56BFE" w:rsidRPr="003362B6" w:rsidTr="00D56BFE">
              <w:trPr>
                <w:tblCellSpacing w:w="0" w:type="dxa"/>
              </w:trPr>
              <w:tc>
                <w:tcPr>
                  <w:tcW w:w="0" w:type="auto"/>
                  <w:tcBorders>
                    <w:top w:val="nil"/>
                    <w:left w:val="single" w:sz="6" w:space="0" w:color="CCCCCC"/>
                    <w:bottom w:val="single" w:sz="6" w:space="0" w:color="CCCCCC"/>
                    <w:right w:val="nil"/>
                  </w:tcBorders>
                  <w:shd w:val="clear" w:color="auto" w:fill="FFFFFF"/>
                  <w:tcMar>
                    <w:top w:w="30" w:type="dxa"/>
                    <w:left w:w="30" w:type="dxa"/>
                    <w:bottom w:w="30" w:type="dxa"/>
                    <w:right w:w="30" w:type="dxa"/>
                  </w:tcMar>
                  <w:vAlign w:val="center"/>
                  <w:hideMark/>
                </w:tcPr>
                <w:p w:rsidR="00D56BFE" w:rsidRPr="003362B6" w:rsidRDefault="00D56BFE" w:rsidP="00D56BFE">
                  <w:pPr>
                    <w:spacing w:after="0" w:line="240" w:lineRule="auto"/>
                    <w:rPr>
                      <w:rFonts w:asciiTheme="minorHAnsi" w:eastAsiaTheme="minorEastAsia" w:hAnsiTheme="minorHAnsi"/>
                      <w:sz w:val="20"/>
                    </w:rPr>
                  </w:pPr>
                </w:p>
              </w:tc>
              <w:tc>
                <w:tcPr>
                  <w:tcW w:w="6478" w:type="dxa"/>
                  <w:tcBorders>
                    <w:top w:val="nil"/>
                    <w:left w:val="single" w:sz="6" w:space="0" w:color="CCCCCC"/>
                    <w:bottom w:val="single" w:sz="6" w:space="0" w:color="CCCCCC"/>
                    <w:right w:val="nil"/>
                  </w:tcBorders>
                  <w:shd w:val="clear" w:color="auto" w:fill="FFFFFF"/>
                  <w:vAlign w:val="center"/>
                  <w:hideMark/>
                </w:tcPr>
                <w:p w:rsidR="00D56BFE" w:rsidRPr="003362B6" w:rsidRDefault="00D56BFE" w:rsidP="00D56BFE">
                  <w:pPr>
                    <w:spacing w:after="0" w:line="240" w:lineRule="auto"/>
                    <w:rPr>
                      <w:rFonts w:asciiTheme="minorHAnsi" w:eastAsiaTheme="minorEastAsia" w:hAnsiTheme="minorHAnsi"/>
                      <w:sz w:val="20"/>
                    </w:rPr>
                  </w:pPr>
                </w:p>
              </w:tc>
            </w:tr>
          </w:tbl>
          <w:p w:rsidR="00D56BFE" w:rsidRPr="003362B6" w:rsidRDefault="00D56BFE" w:rsidP="00D56BFE">
            <w:pPr>
              <w:spacing w:after="0" w:line="240" w:lineRule="auto"/>
              <w:rPr>
                <w:rFonts w:asciiTheme="minorHAnsi" w:eastAsiaTheme="minorEastAsia" w:hAnsiTheme="minorHAnsi"/>
                <w:sz w:val="20"/>
              </w:rPr>
            </w:pPr>
          </w:p>
        </w:tc>
        <w:tc>
          <w:tcPr>
            <w:tcW w:w="230" w:type="dxa"/>
            <w:shd w:val="clear" w:color="auto" w:fill="FFFFFF"/>
            <w:vAlign w:val="center"/>
            <w:hideMark/>
          </w:tcPr>
          <w:p w:rsidR="00D56BFE" w:rsidRPr="003362B6" w:rsidRDefault="00D56BFE" w:rsidP="00D56BFE">
            <w:pPr>
              <w:spacing w:after="0" w:line="240" w:lineRule="auto"/>
              <w:rPr>
                <w:rFonts w:asciiTheme="minorHAnsi" w:eastAsiaTheme="minorEastAsia" w:hAnsiTheme="minorHAnsi"/>
                <w:sz w:val="20"/>
              </w:rPr>
            </w:pPr>
          </w:p>
        </w:tc>
      </w:tr>
    </w:tbl>
    <w:p w:rsidR="003F1543" w:rsidRPr="003362B6" w:rsidRDefault="003F1543" w:rsidP="00D56BFE">
      <w:pPr>
        <w:tabs>
          <w:tab w:val="left" w:pos="8931"/>
        </w:tabs>
        <w:spacing w:after="0" w:line="240" w:lineRule="auto"/>
        <w:rPr>
          <w:sz w:val="26"/>
        </w:rPr>
      </w:pPr>
    </w:p>
    <w:sectPr w:rsidR="003F1543" w:rsidRPr="003362B6" w:rsidSect="000C558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40"/>
  <w:drawingGridVerticalSpacing w:val="381"/>
  <w:displayHorizontalDrawingGridEvery w:val="2"/>
  <w:characterSpacingControl w:val="doNotCompress"/>
  <w:compat/>
  <w:rsids>
    <w:rsidRoot w:val="00D56BFE"/>
    <w:rsid w:val="000C558B"/>
    <w:rsid w:val="001A10EF"/>
    <w:rsid w:val="00257EBB"/>
    <w:rsid w:val="003362B6"/>
    <w:rsid w:val="003F1543"/>
    <w:rsid w:val="0047660A"/>
    <w:rsid w:val="005E7DFC"/>
    <w:rsid w:val="007350D5"/>
    <w:rsid w:val="00D56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3F1543"/>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56BFE"/>
    <w:pPr>
      <w:spacing w:after="0" w:line="240" w:lineRule="auto"/>
    </w:pPr>
    <w:rPr>
      <w:rFonts w:eastAsia="Times New Roman" w:cs="Times New Roman"/>
      <w:sz w:val="24"/>
      <w:szCs w:val="24"/>
    </w:rPr>
  </w:style>
  <w:style w:type="character" w:styleId="Siunikt">
    <w:name w:val="Hyperlink"/>
    <w:basedOn w:val="Phngmcnhcaonvn"/>
    <w:uiPriority w:val="99"/>
    <w:semiHidden/>
    <w:unhideWhenUsed/>
    <w:rsid w:val="00D56BFE"/>
    <w:rPr>
      <w:color w:val="0000FF"/>
      <w:u w:val="single"/>
    </w:rPr>
  </w:style>
</w:styles>
</file>

<file path=word/webSettings.xml><?xml version="1.0" encoding="utf-8"?>
<w:webSettings xmlns:r="http://schemas.openxmlformats.org/officeDocument/2006/relationships" xmlns:w="http://schemas.openxmlformats.org/wordprocessingml/2006/main">
  <w:divs>
    <w:div w:id="17680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thc.backan.gov.vn/pages/guest/services.aspx?lv=022"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5cce05eecbf9fa90</MaTinBai>
  </documentManagement>
</p:properties>
</file>

<file path=customXml/itemProps1.xml><?xml version="1.0" encoding="utf-8"?>
<ds:datastoreItem xmlns:ds="http://schemas.openxmlformats.org/officeDocument/2006/customXml" ds:itemID="{E32DDDDB-B72F-4D46-BEDB-BDADC653CCC0}"/>
</file>

<file path=customXml/itemProps2.xml><?xml version="1.0" encoding="utf-8"?>
<ds:datastoreItem xmlns:ds="http://schemas.openxmlformats.org/officeDocument/2006/customXml" ds:itemID="{53DC8ED7-7560-48B2-A7C4-D39704C2E228}"/>
</file>

<file path=customXml/itemProps3.xml><?xml version="1.0" encoding="utf-8"?>
<ds:datastoreItem xmlns:ds="http://schemas.openxmlformats.org/officeDocument/2006/customXml" ds:itemID="{642DC185-C1CE-4DAF-8AD5-5D8C9D416B52}"/>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LEHAIT</cp:lastModifiedBy>
  <cp:revision>2</cp:revision>
  <dcterms:created xsi:type="dcterms:W3CDTF">2020-06-11T08:02:00Z</dcterms:created>
  <dcterms:modified xsi:type="dcterms:W3CDTF">2020-06-11T08:02:00Z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